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25" w:rsidRDefault="006579D7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615425" w:rsidRDefault="006579D7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615425" w:rsidRDefault="006579D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615425" w:rsidRDefault="00615425">
      <w:pPr>
        <w:jc w:val="right"/>
        <w:rPr>
          <w:rFonts w:ascii="PT Astra Serif" w:hAnsi="PT Astra Serif"/>
          <w:b/>
        </w:rPr>
      </w:pPr>
    </w:p>
    <w:p w:rsidR="00615425" w:rsidRDefault="006579D7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06</w:t>
      </w:r>
      <w:r>
        <w:rPr>
          <w:rFonts w:ascii="PT Astra Serif" w:hAnsi="PT Astra Serif"/>
          <w:b/>
        </w:rPr>
        <w:t>.05.2023</w:t>
      </w:r>
    </w:p>
    <w:p w:rsidR="00615425" w:rsidRDefault="00615425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30"/>
        <w:gridCol w:w="1530"/>
        <w:gridCol w:w="5325"/>
        <w:gridCol w:w="1815"/>
        <w:gridCol w:w="1365"/>
        <w:gridCol w:w="1859"/>
      </w:tblGrid>
      <w:tr w:rsidR="00615425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615425" w:rsidRDefault="0061542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615425" w:rsidRDefault="0061542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615425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579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25" w:rsidRDefault="00615425">
            <w:pPr>
              <w:widowControl w:val="0"/>
              <w:jc w:val="center"/>
              <w:rPr>
                <w:b/>
              </w:rPr>
            </w:pPr>
          </w:p>
        </w:tc>
      </w:tr>
      <w:tr w:rsidR="00615425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09</w:t>
            </w:r>
            <w:r>
              <w:t>.05.2024 -    11.05.2024</w:t>
            </w:r>
          </w:p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615425" w:rsidRDefault="00615425">
            <w:pPr>
              <w:keepNext/>
              <w:keepLines/>
              <w:widowControl w:val="0"/>
              <w:jc w:val="both"/>
            </w:pPr>
          </w:p>
          <w:p w:rsidR="00615425" w:rsidRDefault="00615425">
            <w:pPr>
              <w:keepNext/>
              <w:keepLines/>
              <w:widowControl w:val="0"/>
              <w:jc w:val="both"/>
            </w:pPr>
          </w:p>
          <w:p w:rsidR="00615425" w:rsidRDefault="006579D7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15425" w:rsidRDefault="00615425">
            <w:pPr>
              <w:keepNext/>
              <w:keepLines/>
              <w:widowControl w:val="0"/>
              <w:jc w:val="both"/>
            </w:pPr>
          </w:p>
          <w:p w:rsidR="00615425" w:rsidRDefault="00615425">
            <w:pPr>
              <w:keepNext/>
              <w:keepLines/>
              <w:widowControl w:val="0"/>
              <w:jc w:val="both"/>
            </w:pPr>
          </w:p>
          <w:p w:rsidR="00615425" w:rsidRDefault="006579D7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15425" w:rsidRDefault="0061542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</w:p>
          <w:p w:rsidR="00615425" w:rsidRDefault="0061542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</w:p>
          <w:p w:rsidR="00615425" w:rsidRDefault="006579D7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hyperlink r:id="rId5">
              <w:r>
                <w:t>2,4-</w:t>
              </w:r>
            </w:hyperlink>
            <w:r>
              <w:t>Д (2-этилгексиловый эфир)</w:t>
            </w:r>
          </w:p>
          <w:p w:rsidR="00615425" w:rsidRDefault="006579D7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615425" w:rsidRDefault="006579D7">
            <w:pPr>
              <w:widowControl w:val="0"/>
              <w:spacing w:before="57" w:after="57"/>
              <w:jc w:val="center"/>
            </w:pPr>
            <w:r>
              <w:t xml:space="preserve">8-910-150-05-35  </w:t>
            </w:r>
          </w:p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  <w:tr w:rsidR="0061542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hyperlink r:id="rId6">
              <w:proofErr w:type="spellStart"/>
              <w:r>
                <w:t>Флорасулам</w:t>
              </w:r>
              <w:proofErr w:type="spellEnd"/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  <w:tr w:rsidR="0061542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hyperlink r:id="rId7">
              <w:r>
                <w:t xml:space="preserve"> </w:t>
              </w:r>
            </w:hyperlink>
            <w:hyperlink r:id="rId8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  <w:tr w:rsidR="0061542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615425" w:rsidRDefault="006579D7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  <w:tr w:rsidR="0061542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615425" w:rsidRDefault="00615425">
            <w:pPr>
              <w:widowControl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  <w:tr w:rsidR="0061542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  <w:r>
              <w:t xml:space="preserve"> </w:t>
            </w:r>
          </w:p>
          <w:p w:rsidR="00615425" w:rsidRDefault="00615425">
            <w:pPr>
              <w:widowControl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  <w:tr w:rsidR="0061542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  <w:tr w:rsidR="0061542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579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25" w:rsidRDefault="00615425">
            <w:pPr>
              <w:widowControl w:val="0"/>
              <w:spacing w:before="57" w:after="57"/>
              <w:jc w:val="center"/>
            </w:pPr>
          </w:p>
        </w:tc>
      </w:tr>
    </w:tbl>
    <w:p w:rsidR="00615425" w:rsidRDefault="00615425"/>
    <w:sectPr w:rsidR="00615425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5"/>
    <w:rsid w:val="00615425"/>
    <w:rsid w:val="006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icidy.ru/active_substance/tribenuron-meth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ticidy.ru/active_substance/florasul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ethylhexy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2024-05-07T10:42:00Z</dcterms:created>
  <dcterms:modified xsi:type="dcterms:W3CDTF">2024-05-07T10:42:00Z</dcterms:modified>
  <dc:language>ru-RU</dc:language>
</cp:coreProperties>
</file>